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34"/>
          <w:szCs w:val="34"/>
        </w:rPr>
        <w:drawing>
          <wp:inline distB="114300" distT="114300" distL="114300" distR="114300">
            <wp:extent cx="5943600" cy="838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ywxf4hykw61s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AZTESOL Board Meeting Summary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October 18, 2025 |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Time: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9:00–11:00 AM |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Virtual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AZTESOL Board gathered to discuss leadership transitions, website updates, financial planning, and upcoming professional development initiatives.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xer56e5t4mb0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Key Highlights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Leadership &amp; Governance: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The board reviewed open leadership positions—including Vice President, Secretary, Advocacy Chair, and Regional Representatives—and agreed to reinstate the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Webmaster position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Website &amp; GoDaddy Update: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Following a BBB complaint, GoDaddy offered a refund or two years of free hosting. A final decision on whether to continue with GoDaddy or move to a new platform will be made after a site review.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Financial Update: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Treasurer Nicole Teyechea-D’Alessio reported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$39,570 in total accounts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with a clear distinction between operating funds and Arizona Community Foundation grant funds. Conference funding is on track, with the goal of vendor and in-kind support.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Board Recruitment: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Two new board candidates were introduced, and recruitment continues for key roles. All board members were reminded to review and sign the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Board Member Contract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Communications &amp; Outreach:</w:t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The team is streamlining communication protocols and increasing outreach through social media. Open positions will be promoted, and the next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newsletter will be released in November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Professional Development: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720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robust calendar of eight professional development webinars is planned for 2025–2026.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spacing w:after="0" w:before="0" w:line="240" w:lineRule="auto"/>
        <w:ind w:left="1440" w:hanging="360"/>
        <w:rPr>
          <w:rFonts w:ascii="Roboto" w:cs="Roboto" w:eastAsia="Roboto" w:hAnsi="Roboto"/>
          <w:b w:val="1"/>
          <w:bCs w:val="1"/>
          <w:color w:val="000000"/>
          <w:sz w:val="22"/>
          <w:szCs w:val="22"/>
        </w:rPr>
      </w:pPr>
      <w:bookmarkStart w:colFirst="0" w:colLast="0" w:name="_ji4t0nnnhayj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2"/>
          <w:szCs w:val="22"/>
          <w:rtl w:val="0"/>
        </w:rPr>
        <w:t xml:space="preserve">Featured Series: AI Literacy Training for Teachers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Presented by Nesma Nasr, this four-part AI Literacy professional development series will help teachers explore responsible and effective use of AI in education.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720" w:firstLine="0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🧠 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Teachers in the Loop: Empowering Teacher AI Literacy for Ethical, Responsible, and Effective AI Use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Session Dates: October 29, November 5, November 12, November 19, 2025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Time: 3:30–5:00 PM MST (Virtual)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Presenter: Nesma Nasr, Northern Arizona University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144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Registration:</w:t>
      </w:r>
      <w:hyperlink r:id="rId7">
        <w:r w:rsidDel="00000000" w:rsidR="00000000" w:rsidRPr="00000000">
          <w:rPr>
            <w:rFonts w:ascii="Roboto" w:cs="Roboto" w:eastAsia="Roboto" w:hAnsi="Robot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Advocacy: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TESOL Affiliate Leadership Workshop proposal submitted for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March 2026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Scholarships, Grants &amp; Awards (SGA)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rtl w:val="0"/>
        </w:rPr>
        <w:t xml:space="preserve"> The board reviewed proposed updates to the program, including a new timeline and outreach strategies. Gwen Groth from the Arizona Community Foundation will be invited to the January meeting for further discussion.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Roboto" w:cs="Roboto" w:eastAsia="Roboto" w:hAnsi="Roboto"/>
          <w:b w:val="1"/>
          <w:bCs w:val="1"/>
          <w:color w:val="000000"/>
          <w:sz w:val="26"/>
          <w:szCs w:val="26"/>
        </w:rPr>
      </w:pPr>
      <w:bookmarkStart w:colFirst="0" w:colLast="0" w:name="_fa46idz74ocu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6"/>
          <w:szCs w:val="26"/>
          <w:rtl w:val="0"/>
        </w:rPr>
        <w:t xml:space="preserve">Next Steps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Finalize website hosting decision.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Launch board recruitment and communications campaign.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Prepare for upcoming webinars and newsletter.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Review Grants &amp; Awards materials ahead of the January board meeting.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📅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Next Board Meeting: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January 17, 2026</w:t>
        <w:br w:type="textWrapping"/>
        <w:t xml:space="preserve"> 💻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TBD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AZTESOL continues to grow as a statewide network of educators dedicated to advocacy, professional development, and leadership in English language education.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Roboto" w:cs="Roboto" w:eastAsia="Roboto" w:hAnsi="Robo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lnkd.in/gvbsYJaB" TargetMode="External"/><Relationship Id="rId8" Type="http://schemas.openxmlformats.org/officeDocument/2006/relationships/hyperlink" Target="https://lnkd.in/gvbsYJa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